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tbl>
      <w:tblPr>
        <w:tblW w:w="9854" w:type="dxa"/>
        <w:jc w:val="left"/>
        <w:tblInd w:w="-216" w:type="dxa"/>
        <w:tblBorders/>
        <w:tblCellMar>
          <w:top w:w="0" w:type="dxa"/>
          <w:left w:w="10" w:type="dxa"/>
          <w:bottom w:w="0" w:type="dxa"/>
          <w:right w:w="10" w:type="dxa"/>
        </w:tblCellMar>
      </w:tblPr>
      <w:tblGrid>
        <w:gridCol w:w="3215"/>
        <w:gridCol w:w="3421"/>
        <w:gridCol w:w="3218"/>
      </w:tblGrid>
      <w:tr>
        <w:trPr>
          <w:trHeight w:val="1417" w:hRule="atLeast"/>
        </w:trPr>
        <w:tc>
          <w:tcPr>
            <w:tcW w:w="3215" w:type="dxa"/>
            <w:tcBorders/>
            <w:shd w:fill="auto" w:val="clear"/>
          </w:tcPr>
          <w:p>
            <w:pPr>
              <w:pStyle w:val="Standard"/>
              <w:snapToGrid w:val="false"/>
              <w:jc w:val="center"/>
              <w:rPr>
                <w:b/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</w:r>
          </w:p>
        </w:tc>
        <w:tc>
          <w:tcPr>
            <w:tcW w:w="3421" w:type="dxa"/>
            <w:tcBorders/>
            <w:shd w:fill="auto" w:val="clear"/>
          </w:tcPr>
          <w:p>
            <w:pPr>
              <w:pStyle w:val="Standard"/>
              <w:jc w:val="center"/>
              <w:rPr>
                <w:lang w:val="ru-RU" w:eastAsia="ru-RU" w:bidi="ar-SA"/>
              </w:rPr>
            </w:pPr>
            <w:r>
              <w:rPr/>
              <w:drawing>
                <wp:inline distT="0" distB="0" distL="0" distR="0">
                  <wp:extent cx="790575" cy="932180"/>
                  <wp:effectExtent l="0" t="0" r="0" b="0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91" t="-76" r="-91" b="-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32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8" w:type="dxa"/>
            <w:tcBorders/>
            <w:shd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712" w:hRule="atLeast"/>
        </w:trPr>
        <w:tc>
          <w:tcPr>
            <w:tcW w:w="9854" w:type="dxa"/>
            <w:gridSpan w:val="3"/>
            <w:tcBorders/>
            <w:shd w:fill="auto" w:val="clear"/>
            <w:tcMar>
              <w:left w:w="108" w:type="dxa"/>
              <w:right w:w="108" w:type="dxa"/>
            </w:tcMar>
          </w:tcPr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РОССИЙСКАЯ ФЕДЕРАЦИЯ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ИВАНОВСКАЯ  ОБЛАСТЬ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СОВЕТ САВИНСКОГО МУНИЦИПАЛЬНОГО РАЙОНА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ШЕСТОГО   СОЗЫВА   </w:t>
            </w:r>
          </w:p>
        </w:tc>
      </w:tr>
    </w:tbl>
    <w:p>
      <w:pPr>
        <w:pStyle w:val="Normal"/>
        <w:rPr/>
      </w:pPr>
      <w:r>
        <w:rPr>
          <w:rFonts w:eastAsia="Liberation Serif;Times New Roman" w:cs="Liberation Serif;Times New Roman"/>
          <w:sz w:val="28"/>
          <w:szCs w:val="28"/>
        </w:rPr>
        <w:t xml:space="preserve">                                                      </w:t>
      </w:r>
      <w:r>
        <w:rPr>
          <w:b/>
          <w:bCs/>
          <w:sz w:val="28"/>
          <w:szCs w:val="28"/>
        </w:rPr>
        <w:t>РЕШЕНИЕ</w:t>
      </w:r>
    </w:p>
    <w:p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от  </w:t>
      </w:r>
      <w:r>
        <w:rPr>
          <w:rFonts w:cs="Times New Roman" w:ascii="Times New Roman" w:hAnsi="Times New Roman"/>
          <w:b/>
          <w:bCs/>
          <w:sz w:val="28"/>
          <w:szCs w:val="28"/>
        </w:rPr>
        <w:t>03</w:t>
      </w:r>
      <w:r>
        <w:rPr>
          <w:rFonts w:cs="Times New Roman" w:ascii="Times New Roman" w:hAnsi="Times New Roman"/>
          <w:b/>
          <w:bCs/>
          <w:sz w:val="28"/>
          <w:szCs w:val="28"/>
        </w:rPr>
        <w:t>.1</w:t>
      </w:r>
      <w:r>
        <w:rPr>
          <w:rFonts w:cs="Times New Roman" w:ascii="Times New Roman" w:hAnsi="Times New Roman"/>
          <w:b/>
          <w:bCs/>
          <w:sz w:val="28"/>
          <w:szCs w:val="28"/>
        </w:rPr>
        <w:t>2</w:t>
      </w:r>
      <w:r>
        <w:rPr>
          <w:rFonts w:cs="Times New Roman" w:ascii="Times New Roman" w:hAnsi="Times New Roman"/>
          <w:b/>
          <w:bCs/>
          <w:sz w:val="28"/>
          <w:szCs w:val="28"/>
        </w:rPr>
        <w:t>.202</w:t>
      </w:r>
      <w:r>
        <w:rPr>
          <w:rFonts w:cs="Times New Roman" w:ascii="Times New Roman" w:hAnsi="Times New Roman"/>
          <w:b/>
          <w:bCs/>
          <w:sz w:val="28"/>
          <w:szCs w:val="28"/>
        </w:rPr>
        <w:t>4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  №  </w:t>
      </w:r>
      <w:r>
        <w:rPr>
          <w:rFonts w:cs="Times New Roman" w:ascii="Times New Roman" w:hAnsi="Times New Roman"/>
          <w:b/>
          <w:bCs/>
          <w:sz w:val="28"/>
          <w:szCs w:val="28"/>
        </w:rPr>
        <w:t>405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- р  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пос. Савино </w:t>
      </w:r>
    </w:p>
    <w:p>
      <w:pPr>
        <w:pStyle w:val="ConsPlusNormal"/>
        <w:rPr/>
      </w:pPr>
      <w:r>
        <w:rPr/>
      </w:r>
    </w:p>
    <w:p>
      <w:pPr>
        <w:pStyle w:val="ConsPlusNormal"/>
        <w:rPr/>
      </w:pPr>
      <w:r>
        <w:rPr/>
      </w:r>
    </w:p>
    <w:p>
      <w:pPr>
        <w:pStyle w:val="ConsPlusNormal"/>
        <w:rPr/>
      </w:pPr>
      <w:r>
        <w:rPr>
          <w:rFonts w:eastAsia="Arial" w:cs="Arial"/>
        </w:rPr>
        <w:t xml:space="preserve">      </w:t>
      </w:r>
      <w:r>
        <w:rPr>
          <w:rFonts w:cs="Times New Roman" w:ascii="Times New Roman" w:hAnsi="Times New Roman"/>
          <w:b/>
          <w:bCs/>
          <w:sz w:val="28"/>
          <w:szCs w:val="28"/>
        </w:rPr>
        <w:t>О передаче  Савинским  муниципальным районом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Горячевскому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сельскому  поселению Савинского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cs="Times New Roman" w:ascii="Times New Roman" w:hAnsi="Times New Roman"/>
          <w:b/>
          <w:bCs/>
          <w:sz w:val="28"/>
          <w:szCs w:val="28"/>
        </w:rPr>
        <w:t>муниципального  района  Ивановской  области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полномочий  по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содержанию  мест  захоронения  на  202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5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г.                                    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 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В  соответствии  со  ст. 142.4  Бюджетного  кодекса  Российской  Федерации ,    ч. 4  статьи  15  Федерального  закона от  06.10.2003 г. № 131-ФЗ  «Об  общих принципах  организации  местного  самоуправления в  Российской  Федерации», ст. 23  Устава  Савинского муниципального  района, Совет  Савинского  муниципального  района 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>р е ш и л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: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      </w:t>
      </w:r>
      <w:r>
        <w:rPr>
          <w:rFonts w:cs="Times New Roman" w:ascii="Times New Roman" w:hAnsi="Times New Roman"/>
          <w:sz w:val="26"/>
          <w:szCs w:val="26"/>
        </w:rPr>
        <w:t xml:space="preserve">1. Савинскому   муниципальному  району  передать  Горячевскому  сельскому  поселению  Савинского  муниципального  района  Ивановской  области  полномочия  по   содержанию  мест  захоронения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на  202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5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 г. 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    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Для  выполнения  вышеуказанных  полномочий  предоставить   Горячевскому  сельскому  поселению  Савинского  муниципального  района  Ивановской  области  за  счет  межбюджетных  трансфертов  следующие  денежные   средства  -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78204,95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руб. (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семьдесят восемь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тысяч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двести четыре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рубл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95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копеек).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      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2. Утвердить  методику  распределения  иных  межбюджетных  трансфертов   на  осуществление  полномочий  по  содержанию  мест  захоронения    (Приложение 1).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       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3. Заключить  с  Горячевским  сельским  поселением Савинского  муниципального  района  Ивановской  области соглашение  о  передаче  полномочий  по  содержанию  мест  захоронения.           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   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4. Разместить  настоящее  решение  на  официальном  сайте  Савинского муниципального  района  в  информационно - телекоммуникационной  сети «Интернет».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         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5.  Настоящее  решение  вступает  в  силу  с  01.01.202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5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  г.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</w:t>
      </w:r>
    </w:p>
    <w:tbl>
      <w:tblPr>
        <w:tblW w:w="9645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788"/>
        <w:gridCol w:w="1695"/>
        <w:gridCol w:w="2162"/>
      </w:tblGrid>
      <w:tr>
        <w:trPr/>
        <w:tc>
          <w:tcPr>
            <w:tcW w:w="5788" w:type="dxa"/>
            <w:tcBorders/>
            <w:shd w:fill="auto" w:val="clear"/>
          </w:tcPr>
          <w:p>
            <w:pPr>
              <w:pStyle w:val="Normal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Временно исполняющий полномочия     Главы Савинского муниципального района</w:t>
            </w:r>
          </w:p>
        </w:tc>
        <w:tc>
          <w:tcPr>
            <w:tcW w:w="1695" w:type="dxa"/>
            <w:tcBorders/>
            <w:shd w:fill="auto" w:val="clear"/>
          </w:tcPr>
          <w:p>
            <w:pPr>
              <w:pStyle w:val="Style20"/>
              <w:snapToGrid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2" w:type="dxa"/>
            <w:tcBorders/>
            <w:shd w:fill="auto" w:val="clear"/>
          </w:tcPr>
          <w:p>
            <w:pPr>
              <w:pStyle w:val="Normal"/>
              <w:snapToGrid w:val="fals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И.М. Саякина</w:t>
            </w:r>
          </w:p>
        </w:tc>
      </w:tr>
      <w:tr>
        <w:trPr/>
        <w:tc>
          <w:tcPr>
            <w:tcW w:w="5788" w:type="dxa"/>
            <w:tcBorders/>
            <w:shd w:fill="auto" w:val="clear"/>
          </w:tcPr>
          <w:p>
            <w:pPr>
              <w:pStyle w:val="Normal"/>
              <w:snapToGrid w:val="fals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1695" w:type="dxa"/>
            <w:tcBorders/>
            <w:shd w:fill="auto" w:val="clear"/>
          </w:tcPr>
          <w:p>
            <w:pPr>
              <w:pStyle w:val="Style20"/>
              <w:snapToGrid w:val="false"/>
              <w:spacing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2162" w:type="dxa"/>
            <w:tcBorders/>
            <w:shd w:fill="auto" w:val="clear"/>
          </w:tcPr>
          <w:p>
            <w:pPr>
              <w:pStyle w:val="Normal"/>
              <w:snapToGrid w:val="fals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5788" w:type="dxa"/>
            <w:tcBorders/>
            <w:shd w:fill="auto" w:val="clear"/>
          </w:tcPr>
          <w:p>
            <w:pPr>
              <w:pStyle w:val="ConsPlusNormal"/>
              <w:widowControl/>
              <w:suppressAutoHyphens w:val="true"/>
              <w:overflowPunct w:val="true"/>
              <w:bidi w:val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Председатель</w:t>
            </w:r>
          </w:p>
          <w:p>
            <w:pPr>
              <w:pStyle w:val="ConsPlusNormal"/>
              <w:widowControl/>
              <w:suppressAutoHyphens w:val="true"/>
              <w:overflowPunct w:val="true"/>
              <w:bidi w:val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Совета Савинского муниципального района</w:t>
            </w:r>
          </w:p>
        </w:tc>
        <w:tc>
          <w:tcPr>
            <w:tcW w:w="1695" w:type="dxa"/>
            <w:tcBorders/>
            <w:shd w:fill="auto" w:val="clear"/>
          </w:tcPr>
          <w:p>
            <w:pPr>
              <w:pStyle w:val="Style20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2" w:type="dxa"/>
            <w:tcBorders/>
            <w:shd w:fill="auto" w:val="clear"/>
          </w:tcPr>
          <w:p>
            <w:pPr>
              <w:pStyle w:val="ConsPlusNormal"/>
              <w:widowControl/>
              <w:suppressAutoHyphens w:val="true"/>
              <w:overflowPunct w:val="true"/>
              <w:bidi w:val="0"/>
              <w:snapToGrid w:val="false"/>
              <w:ind w:left="0" w:righ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ConsPlusNormal"/>
              <w:widowControl/>
              <w:suppressAutoHyphens w:val="true"/>
              <w:overflowPunct w:val="true"/>
              <w:bidi w:val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С.Н.Карачев</w:t>
            </w:r>
          </w:p>
        </w:tc>
      </w:tr>
    </w:tbl>
    <w:p>
      <w:pPr>
        <w:pStyle w:val="ConsPlusNormal"/>
        <w:widowControl/>
        <w:suppressAutoHyphens w:val="true"/>
        <w:overflowPunct w:val="true"/>
        <w:bidi w:val="0"/>
        <w:spacing w:before="0" w:after="113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решению Совета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Савинского муниципального района</w:t>
      </w:r>
    </w:p>
    <w:p>
      <w:pPr>
        <w:pStyle w:val="Normal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>03</w:t>
      </w:r>
      <w:r>
        <w:rPr>
          <w:rFonts w:cs="Times New Roman" w:ascii="Times New Roman" w:hAnsi="Times New Roman"/>
          <w:sz w:val="28"/>
          <w:szCs w:val="28"/>
        </w:rPr>
        <w:t>.1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>.20</w:t>
      </w:r>
      <w:r>
        <w:rPr>
          <w:rFonts w:cs="Times New Roman" w:ascii="Times New Roman" w:hAnsi="Times New Roman"/>
          <w:sz w:val="28"/>
          <w:szCs w:val="28"/>
        </w:rPr>
        <w:t>24</w:t>
      </w:r>
      <w:r>
        <w:rPr>
          <w:rFonts w:cs="Times New Roman" w:ascii="Times New Roman" w:hAnsi="Times New Roman"/>
          <w:sz w:val="28"/>
          <w:szCs w:val="28"/>
        </w:rPr>
        <w:t xml:space="preserve">  № </w:t>
      </w:r>
      <w:r>
        <w:rPr>
          <w:rFonts w:cs="Times New Roman" w:ascii="Times New Roman" w:hAnsi="Times New Roman"/>
          <w:sz w:val="28"/>
          <w:szCs w:val="28"/>
        </w:rPr>
        <w:t>405</w:t>
      </w:r>
      <w:r>
        <w:rPr>
          <w:rFonts w:cs="Times New Roman" w:ascii="Times New Roman" w:hAnsi="Times New Roman"/>
          <w:sz w:val="28"/>
          <w:szCs w:val="28"/>
        </w:rPr>
        <w:t xml:space="preserve"> -р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Методика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распределения иных межбюджетных трансфертов на осуществление полномочий по </w:t>
      </w:r>
      <w:r>
        <w:rPr>
          <w:rFonts w:cs="Times New Roman" w:ascii="Times New Roman" w:hAnsi="Times New Roman"/>
          <w:b/>
          <w:bCs/>
          <w:i w:val="false"/>
          <w:strike w:val="false"/>
          <w:dstrike w:val="false"/>
          <w:sz w:val="28"/>
          <w:szCs w:val="28"/>
          <w:u w:val="none"/>
        </w:rPr>
        <w:t>содержанию мест захоронения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1"/>
        </w:numPr>
        <w:spacing w:before="0" w:after="113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Расчет иных межбюджетных трансфертов на осуществление полномочий по содержанию мест захоронения</w:t>
      </w:r>
      <w:r>
        <w:rPr>
          <w:rFonts w:cs="Times New Roman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:</w:t>
      </w:r>
    </w:p>
    <w:p>
      <w:pPr>
        <w:pStyle w:val="Normal"/>
        <w:spacing w:before="0" w:after="113"/>
        <w:ind w:left="0" w:right="0" w:firstLine="850"/>
        <w:jc w:val="left"/>
        <w:rPr/>
      </w:pPr>
      <w:r>
        <w:rPr>
          <w:rFonts w:cs="Times New Roman" w:ascii="Times New Roman" w:hAnsi="Times New Roman"/>
          <w:sz w:val="32"/>
          <w:szCs w:val="32"/>
        </w:rPr>
        <w:t>Р</w:t>
      </w:r>
      <w:r>
        <w:rPr>
          <w:rFonts w:cs="Times New Roman" w:ascii="Times New Roman" w:hAnsi="Times New Roman"/>
          <w:sz w:val="32"/>
          <w:szCs w:val="32"/>
          <w:vertAlign w:val="subscript"/>
        </w:rPr>
        <w:t xml:space="preserve">мт </w:t>
      </w:r>
      <w:r>
        <w:rPr>
          <w:rFonts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= </w:t>
      </w:r>
      <w:r>
        <w:rPr>
          <w:rFonts w:cs="Times New Roman" w:ascii="Times New Roman" w:hAnsi="Times New Roman"/>
          <w:position w:val="0"/>
          <w:sz w:val="32"/>
          <w:sz w:val="32"/>
          <w:szCs w:val="32"/>
          <w:vertAlign w:val="baseline"/>
        </w:rPr>
        <w:t>Σ</w:t>
      </w:r>
      <w:r>
        <w:rPr>
          <w:rFonts w:cs="Times New Roman" w:ascii="Times New Roman" w:hAnsi="Times New Roman"/>
          <w:sz w:val="32"/>
          <w:szCs w:val="32"/>
          <w:vertAlign w:val="subscript"/>
        </w:rPr>
        <w:t>затрат</w:t>
      </w:r>
      <w:r>
        <w:rPr>
          <w:rFonts w:cs="Times New Roman" w:ascii="Times New Roman" w:hAnsi="Times New Roman"/>
          <w:position w:val="0"/>
          <w:sz w:val="28"/>
          <w:sz w:val="28"/>
          <w:szCs w:val="28"/>
          <w:vertAlign w:val="baseline"/>
        </w:rPr>
        <w:t>, где</w:t>
      </w:r>
    </w:p>
    <w:p>
      <w:pPr>
        <w:pStyle w:val="Normal"/>
        <w:spacing w:before="0" w:after="113"/>
        <w:jc w:val="left"/>
        <w:rPr/>
      </w:pP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>Р</w:t>
      </w:r>
      <w:r>
        <w:rPr>
          <w:rFonts w:eastAsia="Times New Roman" w:cs="Times New Roman" w:ascii="Times New Roman" w:hAnsi="Times New Roman"/>
          <w:sz w:val="32"/>
          <w:szCs w:val="32"/>
          <w:vertAlign w:val="subscript"/>
        </w:rPr>
        <w:t>мт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 —</w:t>
      </w:r>
      <w:r>
        <w:rPr>
          <w:rFonts w:eastAsia="Times New Roman" w:cs="Times New Roman" w:ascii="Times New Roman" w:hAnsi="Times New Roman"/>
          <w:position w:val="0"/>
          <w:sz w:val="28"/>
          <w:sz w:val="28"/>
          <w:szCs w:val="28"/>
          <w:vertAlign w:val="baseline"/>
        </w:rPr>
        <w:t xml:space="preserve"> распределение межбюджетных трансфертов;</w:t>
      </w:r>
    </w:p>
    <w:p>
      <w:pPr>
        <w:pStyle w:val="Normal"/>
        <w:spacing w:before="0" w:after="113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>Σ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>затрат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>—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материальные затраты на осуществление полномочий по содержанию мест захоронения.</w:t>
      </w:r>
    </w:p>
    <w:p>
      <w:pPr>
        <w:pStyle w:val="Normal"/>
        <w:bidi w:val="0"/>
        <w:spacing w:before="0" w:after="113"/>
        <w:ind w:left="0" w:right="0" w:firstLine="850"/>
        <w:jc w:val="left"/>
        <w:rPr/>
      </w:pP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>Σ</w:t>
      </w:r>
      <w:r>
        <w:rPr>
          <w:rFonts w:eastAsia="Times New Roman" w:cs="Times New Roman" w:ascii="Times New Roman" w:hAnsi="Times New Roman"/>
          <w:sz w:val="32"/>
          <w:szCs w:val="32"/>
          <w:vertAlign w:val="subscript"/>
        </w:rPr>
        <w:t xml:space="preserve">затрат 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=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Σ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  <w:lang w:val="ru-RU"/>
        </w:rPr>
        <w:t>затрат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 xml:space="preserve"> на сод.мест зах.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>*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  <w:lang w:val="en-US"/>
        </w:rPr>
        <w:t>S</w:t>
      </w:r>
      <w:r>
        <w:rPr>
          <w:rFonts w:eastAsia="Times New Roman" w:cs="Times New Roman" w:ascii="Times New Roman" w:hAnsi="Times New Roman"/>
          <w:sz w:val="32"/>
          <w:szCs w:val="32"/>
          <w:vertAlign w:val="subscript"/>
          <w:lang w:val="en-US"/>
        </w:rPr>
        <w:t>i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>*К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vertAlign w:val="subscript"/>
        </w:rPr>
        <w:t>сд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, </w:t>
      </w:r>
      <w:r>
        <w:rPr>
          <w:rFonts w:eastAsia="Times New Roman" w:cs="Times New Roman" w:ascii="Times New Roman" w:hAnsi="Times New Roman"/>
          <w:position w:val="0"/>
          <w:sz w:val="28"/>
          <w:sz w:val="28"/>
          <w:szCs w:val="28"/>
          <w:vertAlign w:val="baseline"/>
        </w:rPr>
        <w:t>где</w:t>
      </w:r>
    </w:p>
    <w:p>
      <w:pPr>
        <w:pStyle w:val="Normal"/>
        <w:spacing w:before="0" w:after="113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Σ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  <w:lang w:val="ru-RU"/>
        </w:rPr>
        <w:t>затрат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 xml:space="preserve"> на сод.мест зах.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—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сумма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 xml:space="preserve">затрат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на осуществление полномочий по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содержанию мест захоронения, установленная нормативным правовым актом администрации Савинского муниципального района Ивановской области;</w:t>
      </w:r>
    </w:p>
    <w:p>
      <w:pPr>
        <w:pStyle w:val="Normal"/>
        <w:bidi w:val="0"/>
        <w:spacing w:before="0" w:after="113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en-US"/>
        </w:rPr>
        <w:t>S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vertAlign w:val="subscript"/>
          <w:lang w:val="en-US"/>
        </w:rPr>
        <w:t>i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— общая площадь мест захоронения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en-US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на территории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en-US"/>
        </w:rPr>
        <w:t xml:space="preserve">i -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>муниципального образования учтенная в Едином государственном реестре недвижимости об основных характеристиках и зарегистрированных правах на объект недвижимости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en-US"/>
        </w:rPr>
        <w:t xml:space="preserve">,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>га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  <w:lang w:val="ru-RU"/>
        </w:rPr>
        <w:t>;</w:t>
      </w:r>
    </w:p>
    <w:p>
      <w:pPr>
        <w:pStyle w:val="Normal"/>
        <w:bidi w:val="0"/>
        <w:spacing w:before="0" w:after="113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К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vertAlign w:val="subscript"/>
        </w:rPr>
        <w:t>сд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>—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поправочный коэффициент, установленный нормативным правовым актом администрации Савинского муниципального района Ивановской области.</w:t>
      </w:r>
    </w:p>
    <w:p>
      <w:pPr>
        <w:pStyle w:val="Normal"/>
        <w:bidi w:val="0"/>
        <w:spacing w:before="0" w:after="113"/>
        <w:ind w:left="0" w:right="0" w:firstLine="85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Расчет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суммы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 xml:space="preserve">затрат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на осуществление полномочий по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содержанию мест захоронения:</w:t>
      </w:r>
    </w:p>
    <w:p>
      <w:pPr>
        <w:pStyle w:val="Normal"/>
        <w:spacing w:before="0" w:after="113"/>
        <w:ind w:left="0" w:right="0" w:firstLine="85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Σ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  <w:lang w:val="ru-RU"/>
        </w:rPr>
        <w:t>затрат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 xml:space="preserve"> на сод.мест зах.</w:t>
      </w:r>
      <w:r>
        <w:rPr>
          <w:rFonts w:eastAsia="Times New Roman" w:cs="Times New Roman" w:ascii="Times New Roman" w:hAnsi="Times New Roman"/>
          <w:sz w:val="32"/>
          <w:szCs w:val="32"/>
          <w:vertAlign w:val="subscript"/>
        </w:rPr>
        <w:t xml:space="preserve"> 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=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Σ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>р-ов на полн.по сод.мест зах.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>/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  <w:lang w:val="en-US"/>
        </w:rPr>
        <w:t>S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, </w:t>
      </w:r>
      <w:r>
        <w:rPr>
          <w:rFonts w:eastAsia="Times New Roman" w:cs="Times New Roman" w:ascii="Times New Roman" w:hAnsi="Times New Roman"/>
          <w:position w:val="0"/>
          <w:sz w:val="28"/>
          <w:sz w:val="28"/>
          <w:szCs w:val="28"/>
          <w:vertAlign w:val="baseline"/>
        </w:rPr>
        <w:t>где</w:t>
      </w:r>
    </w:p>
    <w:p>
      <w:pPr>
        <w:pStyle w:val="Normal"/>
        <w:spacing w:before="0" w:after="113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Σ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 xml:space="preserve">р-ов на полн.по сод.мест зах.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—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сумма бюджетных ассигнований, предусмотренная на осуществление полномочий по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содержанию мест захоронения в решении Совета Савинского муниципального района Ивановской области о бюджете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>на очередной финансовый год и плановый период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;</w:t>
      </w:r>
    </w:p>
    <w:p>
      <w:pPr>
        <w:pStyle w:val="Normal"/>
        <w:spacing w:before="0" w:after="113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en-US"/>
        </w:rPr>
        <w:t>S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— общая площадь мест захоронения на территории Савинского муниципального района Ивановской области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 xml:space="preserve">учтенная в Едином государственном реестре недвижимости об основных характеристиках и зарегистрированных правах на объект недвижимости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(всего), га.</w:t>
      </w:r>
    </w:p>
    <w:sectPr>
      <w:type w:val="nextPage"/>
      <w:pgSz w:w="11906" w:h="16838"/>
      <w:pgMar w:left="1134" w:right="1134" w:header="0" w:top="750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suff w:val="space"/>
      <w:lvlText w:val="%1."/>
      <w:lvlJc w:val="left"/>
      <w:pPr>
        <w:ind w:left="720" w:hanging="360"/>
      </w:pPr>
      <w:rPr>
        <w:sz w:val="28"/>
        <w:szCs w:val="28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overflowPunct w:val="false"/>
      <w:bidi w:val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character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 w:val="false"/>
      <w:suppressAutoHyphens w:val="true"/>
      <w:overflowPunct w:val="false"/>
      <w:bidi w:val="0"/>
      <w:jc w:val="left"/>
      <w:textAlignment w:val="baseline"/>
    </w:pPr>
    <w:rPr>
      <w:rFonts w:ascii="Times New Roman" w:hAnsi="Times New Roman" w:eastAsia="SimSun;Arial Unicode MS" w:cs="Mangal"/>
      <w:color w:val="auto"/>
      <w:kern w:val="2"/>
      <w:sz w:val="24"/>
      <w:szCs w:val="24"/>
      <w:lang w:val="ru-RU" w:eastAsia="zh-CN" w:bidi="hi-IN"/>
    </w:rPr>
  </w:style>
  <w:style w:type="paragraph" w:styleId="Style19">
    <w:name w:val="Без интервала"/>
    <w:qFormat/>
    <w:pPr>
      <w:widowControl/>
      <w:suppressAutoHyphens w:val="true"/>
      <w:overflowPunct w:val="false"/>
      <w:bidi w:val="0"/>
      <w:spacing w:lineRule="atLeast" w:line="100"/>
      <w:jc w:val="left"/>
      <w:textAlignment w:val="baseline"/>
    </w:pPr>
    <w:rPr>
      <w:rFonts w:ascii="Calibri" w:hAnsi="Calibri" w:eastAsia="Times New Roman" w:cs="Times New Roman"/>
      <w:color w:val="00000A"/>
      <w:kern w:val="2"/>
      <w:sz w:val="22"/>
      <w:szCs w:val="22"/>
      <w:lang w:val="ru-RU" w:eastAsia="zh-CN" w:bidi="ar-SA"/>
    </w:rPr>
  </w:style>
  <w:style w:type="paragraph" w:styleId="ConsPlusNormal">
    <w:name w:val="&#9;&#9;ConsPlusNormal"/>
    <w:qFormat/>
    <w:pPr>
      <w:widowControl/>
      <w:suppressAutoHyphens w:val="true"/>
      <w:overflowPunct w:val="false"/>
      <w:bidi w:val="0"/>
      <w:jc w:val="left"/>
    </w:pPr>
    <w:rPr>
      <w:rFonts w:ascii="Arial" w:hAnsi="Arial" w:eastAsia="Arial" w:cs="Tahoma"/>
      <w:b w:val="false"/>
      <w:i w:val="false"/>
      <w:strike w:val="false"/>
      <w:dstrike w:val="false"/>
      <w:color w:val="auto"/>
      <w:kern w:val="2"/>
      <w:sz w:val="20"/>
      <w:szCs w:val="24"/>
      <w:u w:val="none"/>
      <w:lang w:val="ru-RU" w:eastAsia="zh-CN" w:bidi="hi-IN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LibreOffice/6.0.6.2$Windows_X86_64 LibreOffice_project/0c292870b25a325b5ed35f6b45599d2ea4458e77</Application>
  <Pages>2</Pages>
  <Words>424</Words>
  <Characters>3029</Characters>
  <CharactersWithSpaces>3781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2020-12-08T14:52:06Z</dcterms:created>
  <dc:creator/>
  <dc:description/>
  <dc:language>ru-RU</dc:language>
  <cp:lastModifiedBy/>
  <cp:lastPrinted>2020-12-08T15:41:54Z</cp:lastPrinted>
  <dcterms:modified xsi:type="dcterms:W3CDTF">2024-12-10T10:37:40Z</dcterms:modified>
  <cp:revision>17</cp:revision>
  <dc:subject/>
  <dc:title/>
</cp:coreProperties>
</file>